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Normal"/>
        <w:spacing w:after="0" w:line="240" w:lineRule="auto"/>
        <w:jc w:val="center"/>
        <w:rPr>
          <w:rFonts w:ascii="Times New Roman" w:hAnsi="Times New Roman"/>
          <w:b/>
          <w:bCs/>
          <w:sz w:val="14"/>
          <w:szCs w:val="24"/>
        </w:rPr>
      </w:pPr>
      <w:r>
        <w:rPr>
          <w:rFonts w:ascii="Times New Roman" w:hAnsi="Times New Roman"/>
          <w:b/>
          <w:bCs/>
          <w:sz w:val="14"/>
          <w:szCs w:val="24"/>
        </w:rPr>
      </w:r>
    </w:p>
    <w:p>
      <w:pPr>
        <w:pStyle w:val="Normal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ПОЯСНИТЕЛЬНАЯ ЗАПИСКА</w:t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keepNext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к </w:t>
      </w:r>
      <w:r>
        <w:rPr>
          <w:rFonts w:ascii="Times New Roman" w:hAnsi="Times New Roman"/>
          <w:b/>
          <w:bCs/>
          <w:sz w:val="24"/>
          <w:szCs w:val="24"/>
        </w:rPr>
        <w:t xml:space="preserve">проекту постановления  Правительства Санкт-Петербурга «О проекте </w:t>
      </w:r>
      <w:r>
        <w:rPr>
          <w:rFonts w:ascii="Times New Roman" w:hAnsi="Times New Roman"/>
          <w:b/>
          <w:bCs/>
          <w:sz w:val="24"/>
          <w:szCs w:val="24"/>
        </w:rPr>
        <w:t xml:space="preserve">закона Санкт-Петербурга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«О </w:t>
      </w:r>
      <w:r>
        <w:rPr>
          <w:rFonts w:ascii="Times New Roman" w:hAnsi="Times New Roman"/>
          <w:b/>
          <w:bCs/>
          <w:sz w:val="24"/>
          <w:szCs w:val="24"/>
        </w:rPr>
        <w:t xml:space="preserve">внесении изменений в Закон Санкт-Петербурга «О </w:t>
      </w:r>
      <w:r>
        <w:rPr>
          <w:rFonts w:ascii="Times New Roman" w:hAnsi="Times New Roman"/>
          <w:b/>
          <w:bCs/>
          <w:sz w:val="24"/>
          <w:szCs w:val="24"/>
        </w:rPr>
        <w:t xml:space="preserve">бюджете Территориального фонда обязательного медицинского стра</w:t>
      </w:r>
      <w:r>
        <w:rPr>
          <w:rFonts w:ascii="Times New Roman" w:hAnsi="Times New Roman"/>
          <w:b/>
          <w:bCs/>
          <w:sz w:val="24"/>
          <w:szCs w:val="24"/>
        </w:rPr>
        <w:t xml:space="preserve">хования СанктПетербурга на 2026</w:t>
      </w:r>
      <w:r>
        <w:rPr>
          <w:rFonts w:ascii="Times New Roman" w:hAnsi="Times New Roman"/>
          <w:b/>
          <w:bCs/>
          <w:sz w:val="24"/>
          <w:szCs w:val="24"/>
        </w:rPr>
        <w:t xml:space="preserve"> год </w:t>
      </w:r>
      <w:r>
        <w:rPr>
          <w:rFonts w:ascii="Times New Roman" w:hAnsi="Times New Roman"/>
          <w:b/>
          <w:bCs/>
          <w:sz w:val="24"/>
          <w:szCs w:val="24"/>
        </w:rPr>
        <w:t xml:space="preserve">и на плановый период 2027 и 2028</w:t>
      </w:r>
      <w:r>
        <w:rPr>
          <w:rFonts w:ascii="Times New Roman" w:hAnsi="Times New Roman"/>
          <w:b/>
          <w:bCs/>
          <w:sz w:val="24"/>
          <w:szCs w:val="24"/>
        </w:rPr>
        <w:t xml:space="preserve"> годов»</w:t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Проект закона Санкт-Петербурга «О внесении изменений в Закон Санкт-Петербурга «О бюджете Территориального фонда обязательного медицинского страхования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СанктПетербурга на 2026 и на плановый период 2027 и 2028 годов» (далее – проект закона) подготовлен в соответствии с Законом Санкт-Петербурга от 04.07.2007 № 371-77 «О бюджетном процессе в Санкт-Петербурге».</w:t>
      </w:r>
    </w:p>
    <w:p>
      <w:pPr>
        <w:pStyle w:val="Normal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Изменения, вносимые в Закон Санкт-Петербурга от 03.12.2025 № 684-132 «</w:t>
      </w:r>
      <w:r>
        <w:rPr>
          <w:rFonts w:ascii="Times New Roman" w:hAnsi="Times New Roman"/>
          <w:sz w:val="24"/>
          <w:szCs w:val="24"/>
        </w:rPr>
        <w:t xml:space="preserve">О </w:t>
      </w:r>
      <w:r>
        <w:rPr>
          <w:rFonts w:ascii="Times New Roman" w:hAnsi="Times New Roman"/>
          <w:sz w:val="24"/>
          <w:szCs w:val="24"/>
        </w:rPr>
        <w:t xml:space="preserve">бюджете Территориального фонда обязательного медицинского страхования </w:t>
      </w:r>
      <w:r>
        <w:rPr>
          <w:rFonts w:ascii="Times New Roman" w:hAnsi="Times New Roman"/>
          <w:sz w:val="24"/>
          <w:szCs w:val="24"/>
        </w:rPr>
        <w:t xml:space="preserve">Санкт</w:t>
      </w:r>
      <w:r>
        <w:rPr>
          <w:rFonts w:ascii="Times New Roman" w:hAnsi="Times New Roman"/>
          <w:sz w:val="24"/>
          <w:szCs w:val="24"/>
        </w:rPr>
        <w:t xml:space="preserve">Петербурга на 2026 и плановый период 2027 и 2028 годов», обусловлены предоставлением бюджету Территориального фонда обязательного медицинского страхования Санкт-Петербурга (далее - Фонд) дополнительных средств из бюджета Федерального фонда обязательного медицинского страхования, уточнением отдельных показателей бюджета на 2026 год по результатам исполнения бюджета Фонда за истекший период 2026 года.</w:t>
      </w:r>
    </w:p>
    <w:p>
      <w:pPr>
        <w:pStyle w:val="Normal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Правительством Российской Федерации утверждено распределение межбюджетных трансфертов бюджетам территориальных фондов обязательного медицинского страхования, предоставляемых из бюджета Федерального фонда обязательного медицинского страхования на 2026 год, в том числе Санкт-Петербургу:</w:t>
      </w:r>
    </w:p>
    <w:p>
      <w:pPr>
        <w:pStyle w:val="Normal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распоряжением от </w:t>
      </w:r>
      <w:r>
        <w:rPr>
          <w:rFonts w:ascii="Times New Roman" w:hAnsi="Times New Roman"/>
          <w:sz w:val="24"/>
          <w:szCs w:val="24"/>
        </w:rPr>
        <w:t xml:space="preserve">12</w:t>
      </w:r>
      <w:r>
        <w:rPr>
          <w:rFonts w:ascii="Times New Roman" w:hAnsi="Times New Roman"/>
          <w:sz w:val="24"/>
          <w:szCs w:val="24"/>
        </w:rPr>
        <w:t xml:space="preserve">.12.202</w:t>
      </w:r>
      <w:r>
        <w:rPr>
          <w:rFonts w:ascii="Times New Roman" w:hAnsi="Times New Roman"/>
          <w:sz w:val="24"/>
          <w:szCs w:val="24"/>
        </w:rPr>
        <w:t xml:space="preserve">5</w:t>
      </w:r>
      <w:r>
        <w:rPr>
          <w:rFonts w:ascii="Times New Roman" w:hAnsi="Times New Roman"/>
          <w:sz w:val="24"/>
          <w:szCs w:val="24"/>
        </w:rPr>
        <w:t xml:space="preserve"> № 3</w:t>
      </w:r>
      <w:r>
        <w:rPr>
          <w:rFonts w:ascii="Times New Roman" w:hAnsi="Times New Roman"/>
          <w:sz w:val="24"/>
          <w:szCs w:val="24"/>
        </w:rPr>
        <w:t xml:space="preserve">764</w:t>
      </w:r>
      <w:r>
        <w:rPr>
          <w:rFonts w:ascii="Times New Roman" w:hAnsi="Times New Roman"/>
          <w:sz w:val="24"/>
          <w:szCs w:val="24"/>
        </w:rPr>
        <w:t xml:space="preserve">-р</w:t>
      </w:r>
      <w:r>
        <w:rPr>
          <w:rFonts w:ascii="Times New Roman" w:hAnsi="Times New Roman"/>
          <w:sz w:val="24"/>
          <w:szCs w:val="24"/>
        </w:rPr>
        <w:t xml:space="preserve"> на осуществление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 – </w:t>
      </w:r>
      <w:r>
        <w:rPr>
          <w:rFonts w:ascii="Times New Roman" w:hAnsi="Times New Roman"/>
          <w:sz w:val="24"/>
          <w:szCs w:val="24"/>
        </w:rPr>
        <w:t xml:space="preserve">4 </w:t>
      </w:r>
      <w:r>
        <w:rPr>
          <w:rFonts w:ascii="Times New Roman" w:hAnsi="Times New Roman"/>
          <w:sz w:val="24"/>
          <w:szCs w:val="24"/>
        </w:rPr>
        <w:t xml:space="preserve">124</w:t>
      </w:r>
      <w:r>
        <w:rPr>
          <w:rFonts w:ascii="Times New Roman" w:hAnsi="Times New Roman"/>
          <w:sz w:val="24"/>
          <w:szCs w:val="24"/>
        </w:rPr>
        <w:t xml:space="preserve">,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 тыс. руб.;</w:t>
      </w:r>
    </w:p>
    <w:p>
      <w:pPr>
        <w:pStyle w:val="Normal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распоряжением от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</w:rPr>
        <w:t xml:space="preserve">.12.202</w:t>
      </w:r>
      <w:r>
        <w:rPr>
          <w:rFonts w:ascii="Times New Roman" w:hAnsi="Times New Roman"/>
          <w:sz w:val="24"/>
          <w:szCs w:val="24"/>
        </w:rPr>
        <w:t xml:space="preserve">5</w:t>
      </w:r>
      <w:r>
        <w:rPr>
          <w:rFonts w:ascii="Times New Roman" w:hAnsi="Times New Roman"/>
          <w:sz w:val="24"/>
          <w:szCs w:val="24"/>
        </w:rPr>
        <w:t xml:space="preserve"> № 36</w:t>
      </w:r>
      <w:r>
        <w:rPr>
          <w:rFonts w:ascii="Times New Roman" w:hAnsi="Times New Roman"/>
          <w:sz w:val="24"/>
          <w:szCs w:val="24"/>
        </w:rPr>
        <w:t xml:space="preserve">85</w:t>
      </w:r>
      <w:r>
        <w:rPr>
          <w:rFonts w:ascii="Times New Roman" w:hAnsi="Times New Roman"/>
          <w:sz w:val="24"/>
          <w:szCs w:val="24"/>
        </w:rPr>
        <w:t xml:space="preserve">-р</w:t>
      </w:r>
      <w:r>
        <w:rPr>
          <w:rFonts w:ascii="Times New Roman" w:hAnsi="Times New Roman"/>
          <w:sz w:val="24"/>
          <w:szCs w:val="24"/>
        </w:rPr>
        <w:t xml:space="preserve"> на софинансирование расходов медицинских организаций на оплату труда врачей и среднего медицинского персонала – </w:t>
      </w:r>
      <w:r>
        <w:rPr>
          <w:rFonts w:ascii="Times New Roman" w:hAnsi="Times New Roman"/>
          <w:sz w:val="24"/>
          <w:szCs w:val="24"/>
        </w:rPr>
        <w:t xml:space="preserve">15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760</w:t>
      </w:r>
      <w:r>
        <w:rPr>
          <w:rFonts w:ascii="Times New Roman" w:hAnsi="Times New Roman"/>
          <w:sz w:val="24"/>
          <w:szCs w:val="24"/>
        </w:rPr>
        <w:t xml:space="preserve">,</w:t>
      </w:r>
      <w:r>
        <w:rPr>
          <w:rFonts w:ascii="Times New Roman" w:hAnsi="Times New Roman"/>
          <w:sz w:val="24"/>
          <w:szCs w:val="24"/>
        </w:rPr>
        <w:t xml:space="preserve">0</w:t>
      </w:r>
      <w:r>
        <w:rPr>
          <w:rFonts w:ascii="Times New Roman" w:hAnsi="Times New Roman"/>
          <w:sz w:val="24"/>
          <w:szCs w:val="24"/>
        </w:rPr>
        <w:t xml:space="preserve"> тыс. руб.</w:t>
      </w:r>
    </w:p>
    <w:p>
      <w:pPr>
        <w:pStyle w:val="Normal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основании</w:t>
      </w:r>
      <w:r>
        <w:rPr>
          <w:rFonts w:ascii="Times New Roman" w:hAnsi="Times New Roman"/>
          <w:sz w:val="24"/>
          <w:szCs w:val="24"/>
        </w:rPr>
        <w:t xml:space="preserve"> п</w:t>
      </w:r>
      <w:r>
        <w:rPr>
          <w:rFonts w:ascii="Times New Roman" w:hAnsi="Times New Roman"/>
          <w:sz w:val="24"/>
          <w:szCs w:val="24"/>
        </w:rPr>
        <w:t xml:space="preserve">остановления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Правительства </w:t>
      </w:r>
      <w:r>
        <w:rPr>
          <w:rFonts w:ascii="Times New Roman" w:hAnsi="Times New Roman"/>
          <w:sz w:val="24"/>
          <w:szCs w:val="24"/>
        </w:rPr>
        <w:t xml:space="preserve">Российской Федерации</w:t>
      </w:r>
      <w:r>
        <w:rPr>
          <w:rFonts w:ascii="Times New Roman" w:hAnsi="Times New Roman"/>
          <w:sz w:val="24"/>
          <w:szCs w:val="24"/>
        </w:rPr>
        <w:t xml:space="preserve"> от 27.12.2019 №</w:t>
      </w:r>
      <w:r>
        <w:rPr>
          <w:rFonts w:ascii="Times New Roman" w:hAnsi="Times New Roman"/>
          <w:sz w:val="24"/>
          <w:szCs w:val="24"/>
          <w:lang w:val="en-US"/>
        </w:rPr>
        <w:t xml:space="preserve"> </w:t>
      </w:r>
      <w:r>
        <w:rPr>
          <w:rFonts w:ascii="Times New Roman" w:hAnsi="Times New Roman"/>
          <w:sz w:val="24"/>
          <w:szCs w:val="24"/>
        </w:rPr>
        <w:t xml:space="preserve">1910 </w:t>
      </w:r>
      <w:r>
        <w:rPr>
          <w:rFonts w:ascii="Times New Roman" w:hAnsi="Times New Roman"/>
          <w:sz w:val="24"/>
          <w:szCs w:val="24"/>
        </w:rPr>
        <w:t xml:space="preserve">«</w:t>
      </w:r>
      <w:r>
        <w:rPr>
          <w:rFonts w:ascii="Times New Roman" w:hAnsi="Times New Roman"/>
          <w:sz w:val="24"/>
          <w:szCs w:val="24"/>
        </w:rPr>
        <w:t xml:space="preserve">Об </w:t>
      </w:r>
      <w:r>
        <w:rPr>
          <w:rFonts w:ascii="Times New Roman" w:hAnsi="Times New Roman"/>
          <w:sz w:val="24"/>
          <w:szCs w:val="24"/>
        </w:rPr>
        <w:t xml:space="preserve">утверждении Правил предоставления межбюджетных трансфертов из бюджета Федерального фонда обязательного медицинского страхования бюджетам территориальных фондов обязательно</w:t>
      </w:r>
      <w:r>
        <w:rPr>
          <w:rFonts w:ascii="Times New Roman" w:hAnsi="Times New Roman"/>
          <w:sz w:val="24"/>
          <w:szCs w:val="24"/>
        </w:rPr>
        <w:t xml:space="preserve">го медицинского страхования для </w:t>
      </w:r>
      <w:r>
        <w:rPr>
          <w:rFonts w:ascii="Times New Roman" w:hAnsi="Times New Roman"/>
          <w:sz w:val="24"/>
          <w:szCs w:val="24"/>
        </w:rPr>
        <w:t xml:space="preserve">софинансирования расходов медицинских организаций на оплату т</w:t>
      </w:r>
      <w:r>
        <w:rPr>
          <w:rFonts w:ascii="Times New Roman" w:hAnsi="Times New Roman"/>
          <w:sz w:val="24"/>
          <w:szCs w:val="24"/>
        </w:rPr>
        <w:t xml:space="preserve">руда врачей и </w:t>
      </w:r>
      <w:r>
        <w:rPr>
          <w:rFonts w:ascii="Times New Roman" w:hAnsi="Times New Roman"/>
          <w:sz w:val="24"/>
          <w:szCs w:val="24"/>
        </w:rPr>
        <w:t xml:space="preserve">среднего медицинского персонала</w:t>
      </w:r>
      <w:r>
        <w:rPr>
          <w:rFonts w:ascii="Times New Roman" w:hAnsi="Times New Roman"/>
          <w:sz w:val="24"/>
          <w:szCs w:val="24"/>
        </w:rPr>
        <w:t xml:space="preserve">» за истекший период 2026 </w:t>
      </w:r>
      <w:r>
        <w:rPr>
          <w:rFonts w:ascii="Times New Roman" w:hAnsi="Times New Roman"/>
          <w:sz w:val="24"/>
          <w:szCs w:val="24"/>
        </w:rPr>
        <w:t xml:space="preserve">Фонду выделены дополнительные средства в размере </w:t>
      </w:r>
      <w:r>
        <w:rPr>
          <w:rFonts w:ascii="Times New Roman" w:hAnsi="Times New Roman"/>
          <w:sz w:val="24"/>
          <w:szCs w:val="24"/>
        </w:rPr>
        <w:t xml:space="preserve">–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107 991,6</w:t>
      </w:r>
      <w:r>
        <w:rPr>
          <w:rFonts w:ascii="Times New Roman" w:hAnsi="Times New Roman"/>
          <w:sz w:val="24"/>
          <w:szCs w:val="24"/>
        </w:rPr>
        <w:t xml:space="preserve"> тыс. руб.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rmal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результатам исполнения бюджета Фонда за истекший период 2026 года проектом закона предусмотрено увеличение неналоговых поступл</w:t>
      </w:r>
      <w:r>
        <w:rPr>
          <w:rFonts w:ascii="Times New Roman" w:hAnsi="Times New Roman"/>
          <w:sz w:val="24"/>
          <w:szCs w:val="24"/>
        </w:rPr>
        <w:t xml:space="preserve">ений на </w:t>
      </w:r>
      <w:r>
        <w:rPr>
          <w:rFonts w:ascii="Times New Roman" w:hAnsi="Times New Roman"/>
          <w:sz w:val="24"/>
          <w:szCs w:val="24"/>
        </w:rPr>
        <w:t xml:space="preserve">3 226,5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тыс. руб. </w:t>
      </w:r>
      <w:r>
        <w:rPr>
          <w:rFonts w:ascii="Times New Roman" w:hAnsi="Times New Roman"/>
          <w:sz w:val="24"/>
          <w:szCs w:val="24"/>
        </w:rPr>
        <w:t xml:space="preserve">до</w:t>
      </w:r>
      <w:r>
        <w:rPr>
          <w:rFonts w:ascii="Times New Roman" w:hAnsi="Times New Roman"/>
          <w:sz w:val="24"/>
          <w:szCs w:val="24"/>
        </w:rPr>
        <w:t xml:space="preserve"> </w:t>
      </w:r>
      <w:r>
        <w:rPr>
          <w:rFonts w:ascii="Times New Roman" w:hAnsi="Times New Roman"/>
          <w:sz w:val="24"/>
          <w:szCs w:val="24"/>
        </w:rPr>
        <w:t xml:space="preserve">602 954,2</w:t>
      </w:r>
      <w:r>
        <w:rPr>
          <w:rFonts w:ascii="Times New Roman" w:hAnsi="Times New Roman"/>
          <w:sz w:val="24"/>
          <w:szCs w:val="24"/>
        </w:rPr>
        <w:t xml:space="preserve"> тыс. руб.</w:t>
      </w:r>
      <w:r>
        <w:rPr>
          <w:rFonts w:ascii="Times New Roman" w:hAnsi="Times New Roman"/>
          <w:sz w:val="24"/>
          <w:szCs w:val="24"/>
        </w:rPr>
        <w:t xml:space="preserve"> При этом исключены прогнозируемые поступления в объеме процентного дохода, полученного от размещения временно свободных средств Фонда.</w:t>
      </w: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проекте закона также отражены возвраты Фондом средств в бюджеты бюджетной системы Российской Федерации в размере </w:t>
      </w:r>
      <w:r>
        <w:rPr>
          <w:rFonts w:ascii="Times New Roman" w:hAnsi="Times New Roman"/>
          <w:sz w:val="24"/>
          <w:szCs w:val="24"/>
        </w:rPr>
        <w:t xml:space="preserve">1</w:t>
      </w:r>
      <w:r>
        <w:rPr>
          <w:rFonts w:ascii="Times New Roman" w:hAnsi="Times New Roman"/>
          <w:sz w:val="24"/>
          <w:szCs w:val="24"/>
        </w:rPr>
        <w:t xml:space="preserve"> 618 731,9</w:t>
      </w:r>
      <w:r>
        <w:rPr>
          <w:rFonts w:ascii="Times New Roman" w:hAnsi="Times New Roman"/>
          <w:sz w:val="24"/>
          <w:szCs w:val="24"/>
        </w:rPr>
        <w:t xml:space="preserve"> тыс. руб., в том числе возврат остатков на 01.01.2026 года межбюджетных трансфертов в бюджеты из которых они были предоставлены в 2025 году, осуществленный во исполнение положений части 5 статьи 242 </w:t>
      </w:r>
      <w:r>
        <w:rPr>
          <w:rFonts w:ascii="Times New Roman" w:hAnsi="Times New Roman"/>
          <w:sz w:val="24"/>
          <w:szCs w:val="24"/>
        </w:rPr>
        <w:t xml:space="preserve">Бюджетного кодекса Российской Федерации. Также предусмотрены возвраты средств</w:t>
      </w:r>
      <w:r>
        <w:rPr>
          <w:rFonts w:ascii="Times New Roman" w:hAnsi="Times New Roman"/>
          <w:sz w:val="24"/>
          <w:szCs w:val="24"/>
        </w:rPr>
        <w:t xml:space="preserve"> из </w:t>
      </w:r>
      <w:r>
        <w:rPr>
          <w:rFonts w:ascii="Times New Roman" w:hAnsi="Times New Roman"/>
          <w:sz w:val="24"/>
          <w:szCs w:val="24"/>
        </w:rPr>
        <w:t xml:space="preserve">бюджетов территориальных фондов обязательного </w:t>
      </w:r>
      <w:r>
        <w:rPr>
          <w:rFonts w:ascii="Times New Roman" w:hAnsi="Times New Roman"/>
          <w:sz w:val="24"/>
          <w:szCs w:val="24"/>
        </w:rPr>
        <w:t xml:space="preserve">медицинского страхования</w:t>
      </w:r>
      <w:r>
        <w:rPr>
          <w:rFonts w:ascii="Times New Roman" w:hAnsi="Times New Roman"/>
          <w:sz w:val="24"/>
          <w:szCs w:val="24"/>
        </w:rPr>
        <w:t xml:space="preserve"> в </w:t>
      </w:r>
      <w:r>
        <w:rPr>
          <w:rFonts w:ascii="Times New Roman" w:hAnsi="Times New Roman"/>
          <w:sz w:val="24"/>
          <w:szCs w:val="24"/>
        </w:rPr>
        <w:t xml:space="preserve">бюджет Фонда по межтерриториальным расчетам в размере  </w:t>
      </w:r>
      <w:r>
        <w:rPr>
          <w:rFonts w:ascii="Times New Roman" w:hAnsi="Times New Roman"/>
          <w:sz w:val="24"/>
          <w:szCs w:val="24"/>
        </w:rPr>
        <w:t xml:space="preserve">33</w:t>
      </w:r>
      <w:r>
        <w:rPr>
          <w:rFonts w:ascii="Times New Roman" w:hAnsi="Times New Roman"/>
          <w:sz w:val="24"/>
          <w:szCs w:val="24"/>
        </w:rPr>
        <w:t xml:space="preserve"> </w:t>
      </w:r>
      <w:r>
        <w:rPr>
          <w:rFonts w:ascii="Times New Roman" w:hAnsi="Times New Roman"/>
          <w:sz w:val="24"/>
          <w:szCs w:val="24"/>
        </w:rPr>
        <w:t xml:space="preserve">330</w:t>
      </w:r>
      <w:r>
        <w:rPr>
          <w:rFonts w:ascii="Times New Roman" w:hAnsi="Times New Roman"/>
          <w:sz w:val="24"/>
          <w:szCs w:val="24"/>
        </w:rPr>
        <w:t xml:space="preserve">,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 тыс. руб.</w:t>
      </w: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целом доходная часть бюджета Фонда на 2026 год составит </w:t>
      </w:r>
      <w:r>
        <w:rPr>
          <w:rFonts w:ascii="Times New Roman" w:hAnsi="Times New Roman"/>
          <w:sz w:val="24"/>
          <w:szCs w:val="24"/>
        </w:rPr>
        <w:t xml:space="preserve">192 740 383,4</w:t>
      </w:r>
      <w:r>
        <w:rPr>
          <w:rFonts w:ascii="Times New Roman" w:hAnsi="Times New Roman"/>
          <w:sz w:val="24"/>
          <w:szCs w:val="24"/>
        </w:rPr>
        <w:t xml:space="preserve"> тыс. </w:t>
      </w:r>
      <w:r>
        <w:rPr>
          <w:rFonts w:ascii="Times New Roman" w:hAnsi="Times New Roman"/>
          <w:sz w:val="24"/>
          <w:szCs w:val="24"/>
        </w:rPr>
        <w:t xml:space="preserve">руб., что на </w:t>
      </w:r>
      <w:r>
        <w:rPr>
          <w:rFonts w:ascii="Times New Roman" w:hAnsi="Times New Roman"/>
          <w:sz w:val="24"/>
          <w:szCs w:val="24"/>
        </w:rPr>
        <w:t xml:space="preserve">1 207 041,6</w:t>
      </w:r>
      <w:r>
        <w:rPr>
          <w:rFonts w:ascii="Times New Roman" w:hAnsi="Times New Roman"/>
          <w:sz w:val="24"/>
          <w:szCs w:val="24"/>
        </w:rPr>
        <w:t xml:space="preserve"> тыс</w:t>
      </w:r>
      <w:r>
        <w:rPr>
          <w:rFonts w:ascii="Times New Roman" w:hAnsi="Times New Roman"/>
          <w:sz w:val="24"/>
          <w:szCs w:val="24"/>
        </w:rPr>
        <w:t xml:space="preserve">. руб. </w:t>
      </w:r>
      <w:r>
        <w:rPr>
          <w:rFonts w:ascii="Times New Roman" w:hAnsi="Times New Roman"/>
          <w:sz w:val="24"/>
          <w:szCs w:val="24"/>
        </w:rPr>
        <w:t xml:space="preserve">меньше</w:t>
      </w:r>
      <w:r>
        <w:rPr>
          <w:rFonts w:ascii="Times New Roman" w:hAnsi="Times New Roman"/>
          <w:sz w:val="24"/>
          <w:szCs w:val="24"/>
        </w:rPr>
        <w:t xml:space="preserve"> ранее запланированного.</w:t>
      </w:r>
    </w:p>
    <w:p>
      <w:pPr>
        <w:pStyle w:val="Normal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Главным направлением расходования средств бюджета Фонда является финансирование Территориальной программы обязательного медицинского страхования, удельный вес которой в общих расчетах составляет </w:t>
      </w:r>
      <w:r>
        <w:rPr>
          <w:rFonts w:ascii="Times New Roman" w:hAnsi="Times New Roman"/>
          <w:sz w:val="24"/>
          <w:szCs w:val="24"/>
        </w:rPr>
        <w:t xml:space="preserve">93,0</w:t>
      </w:r>
      <w:r>
        <w:rPr>
          <w:rFonts w:ascii="Times New Roman" w:hAnsi="Times New Roman"/>
          <w:sz w:val="24"/>
          <w:szCs w:val="24"/>
        </w:rPr>
        <w:t xml:space="preserve">%.  Проектом </w:t>
      </w:r>
      <w:r>
        <w:rPr>
          <w:rFonts w:ascii="Times New Roman" w:hAnsi="Times New Roman"/>
          <w:sz w:val="24"/>
          <w:szCs w:val="24"/>
        </w:rPr>
        <w:t xml:space="preserve">закона расходы на </w:t>
      </w:r>
      <w:r>
        <w:rPr>
          <w:rFonts w:ascii="Times New Roman" w:hAnsi="Times New Roman"/>
          <w:sz w:val="24"/>
          <w:szCs w:val="24"/>
        </w:rPr>
        <w:t xml:space="preserve">Территориальную программу обязательного медицинского страхования  в 2026 году возрастут </w:t>
      </w:r>
      <w:r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 xml:space="preserve">5 813 968,9</w:t>
      </w:r>
      <w:r>
        <w:rPr>
          <w:rFonts w:ascii="Times New Roman" w:hAnsi="Times New Roman"/>
          <w:sz w:val="24"/>
          <w:szCs w:val="24"/>
        </w:rPr>
        <w:t xml:space="preserve"> тыс. руб. и составят </w:t>
      </w:r>
      <w:r>
        <w:rPr>
          <w:rFonts w:ascii="Times New Roman" w:hAnsi="Times New Roman"/>
          <w:sz w:val="24"/>
          <w:szCs w:val="24"/>
        </w:rPr>
        <w:t xml:space="preserve">186 391 428,1</w:t>
      </w:r>
      <w:r>
        <w:rPr>
          <w:rFonts w:ascii="Times New Roman" w:hAnsi="Times New Roman"/>
          <w:sz w:val="24"/>
          <w:szCs w:val="24"/>
        </w:rPr>
        <w:t xml:space="preserve"> тыс. руб.</w:t>
      </w: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Законопроектом предусмотрено увеличение расходов для финансового обеспечения мероприятий по организации дополнительного профессионального  образования медицинских работников по программам повышения квалификации, </w:t>
      </w:r>
      <w:r>
        <w:rPr>
          <w:rFonts w:ascii="Times New Roman" w:hAnsi="Times New Roman"/>
          <w:sz w:val="24"/>
          <w:szCs w:val="24"/>
        </w:rPr>
        <w:t xml:space="preserve">а также по </w:t>
      </w:r>
      <w:r>
        <w:rPr>
          <w:rFonts w:ascii="Times New Roman" w:hAnsi="Times New Roman"/>
          <w:sz w:val="24"/>
          <w:szCs w:val="24"/>
        </w:rPr>
        <w:t xml:space="preserve">приобретению и проведению ремонта медицинского оборудования на 2026 год, за счет остатка средств по состоянию на 01.01.202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 год до </w:t>
      </w:r>
      <w:r>
        <w:rPr>
          <w:rFonts w:ascii="Times New Roman" w:hAnsi="Times New Roman"/>
          <w:sz w:val="24"/>
          <w:szCs w:val="24"/>
        </w:rPr>
        <w:t xml:space="preserve">407</w:t>
      </w:r>
      <w:r>
        <w:rPr>
          <w:rFonts w:ascii="Times New Roman" w:hAnsi="Times New Roman"/>
          <w:sz w:val="24"/>
          <w:szCs w:val="24"/>
        </w:rPr>
        <w:t xml:space="preserve"> </w:t>
      </w:r>
      <w:r>
        <w:rPr>
          <w:rFonts w:ascii="Times New Roman" w:hAnsi="Times New Roman"/>
          <w:sz w:val="24"/>
          <w:szCs w:val="24"/>
        </w:rPr>
        <w:t xml:space="preserve">983</w:t>
      </w:r>
      <w:r>
        <w:rPr>
          <w:rFonts w:ascii="Times New Roman" w:hAnsi="Times New Roman"/>
          <w:sz w:val="24"/>
          <w:szCs w:val="24"/>
        </w:rPr>
        <w:t xml:space="preserve">,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 тыс. руб.</w:t>
      </w:r>
    </w:p>
    <w:p>
      <w:pPr>
        <w:pStyle w:val="Normal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Всего, в связи с планируемым в 2026 году поступлением в бюджет Фонда дополнительных средств, а также за счет привлечения остатка</w:t>
      </w:r>
      <w:r>
        <w:rPr>
          <w:rFonts w:ascii="Times New Roman" w:hAnsi="Times New Roman"/>
          <w:sz w:val="24"/>
          <w:szCs w:val="24"/>
        </w:rPr>
        <w:t xml:space="preserve"> средств Фонда по </w:t>
      </w:r>
      <w:r>
        <w:rPr>
          <w:rFonts w:ascii="Times New Roman" w:hAnsi="Times New Roman"/>
          <w:sz w:val="24"/>
          <w:szCs w:val="24"/>
        </w:rPr>
        <w:t xml:space="preserve">состоянию  на 01.01.2026</w:t>
      </w:r>
      <w:r>
        <w:rPr>
          <w:rFonts w:ascii="Times New Roman" w:hAnsi="Times New Roman"/>
          <w:sz w:val="24"/>
          <w:szCs w:val="24"/>
        </w:rPr>
        <w:t xml:space="preserve">, расходная часть бюджета Фонда на 2026 год увеличивается на </w:t>
      </w:r>
      <w:r>
        <w:rPr>
          <w:rFonts w:ascii="Times New Roman" w:hAnsi="Times New Roman"/>
          <w:sz w:val="24"/>
          <w:szCs w:val="24"/>
        </w:rPr>
        <w:t xml:space="preserve">6 558 802,6</w:t>
      </w:r>
      <w:r>
        <w:rPr>
          <w:rFonts w:ascii="Times New Roman" w:hAnsi="Times New Roman"/>
          <w:sz w:val="24"/>
          <w:szCs w:val="24"/>
        </w:rPr>
        <w:t xml:space="preserve"> тыс. руб. </w:t>
      </w:r>
      <w:r>
        <w:rPr>
          <w:rFonts w:ascii="Times New Roman" w:hAnsi="Times New Roman"/>
          <w:sz w:val="24"/>
          <w:szCs w:val="24"/>
        </w:rPr>
        <w:t xml:space="preserve">и составит 200 506 227,6</w:t>
      </w:r>
      <w:r>
        <w:rPr>
          <w:rFonts w:ascii="Times New Roman" w:hAnsi="Times New Roman"/>
          <w:sz w:val="24"/>
          <w:szCs w:val="24"/>
        </w:rPr>
        <w:t xml:space="preserve"> тыс. руб.</w:t>
      </w:r>
    </w:p>
    <w:p>
      <w:pPr>
        <w:pStyle w:val="Normal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Источником внутреннего финансового дефицита бюджета Фонда в 202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  году являются средства остатка на 01.01.2026 года по результатам исполнения бюджета Фонда за 2025 год в размере 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 </w:t>
      </w:r>
      <w:r>
        <w:rPr>
          <w:rFonts w:ascii="Times New Roman" w:hAnsi="Times New Roman"/>
          <w:sz w:val="24"/>
          <w:szCs w:val="24"/>
        </w:rPr>
        <w:t xml:space="preserve">765</w:t>
      </w:r>
      <w:r>
        <w:rPr>
          <w:rFonts w:ascii="Times New Roman" w:hAnsi="Times New Roman"/>
          <w:sz w:val="24"/>
          <w:szCs w:val="24"/>
        </w:rPr>
        <w:t xml:space="preserve"> </w:t>
      </w:r>
      <w:r>
        <w:rPr>
          <w:rFonts w:ascii="Times New Roman" w:hAnsi="Times New Roman"/>
          <w:sz w:val="24"/>
          <w:szCs w:val="24"/>
        </w:rPr>
        <w:t xml:space="preserve">844</w:t>
      </w:r>
      <w:r>
        <w:rPr>
          <w:rFonts w:ascii="Times New Roman" w:hAnsi="Times New Roman"/>
          <w:sz w:val="24"/>
          <w:szCs w:val="24"/>
        </w:rPr>
        <w:t xml:space="preserve">,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 тыс. руб.</w:t>
      </w:r>
    </w:p>
    <w:p>
      <w:pPr>
        <w:pStyle w:val="Normal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текстовой части проекта закона исключаются положения, введенные в целях размещения временно свободных средств Фонда.</w:t>
      </w:r>
    </w:p>
    <w:p>
      <w:pPr>
        <w:pStyle w:val="Normal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Необходимость проведения процедуры оценки регулирующего воздействия проекта закона отсутствует</w:t>
      </w:r>
      <w:r>
        <w:rPr>
          <w:rFonts w:ascii="Times New Roman" w:hAnsi="Times New Roman"/>
          <w:sz w:val="24"/>
          <w:szCs w:val="24"/>
        </w:rPr>
        <w:t xml:space="preserve">,</w:t>
      </w:r>
      <w:r>
        <w:rPr>
          <w:rFonts w:ascii="Times New Roman" w:hAnsi="Times New Roman"/>
          <w:sz w:val="24"/>
          <w:szCs w:val="24"/>
        </w:rPr>
        <w:t xml:space="preserve"> поскольку проект закона не затрагивает вопросы осуществления предпринимательской и инвестиционной деятельности в Санкт-Петербурге.</w:t>
      </w: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headerReference w:type="even" r:id="rId6"/>
      <w:headerReference w:type="default" r:id="rId7"/>
      <w:type w:val="nextPage"/>
      <w:pgSz w:w="11906" w:h="16838"/>
      <w:pgMar w:top="719" w:right="850" w:bottom="2127" w:left="1701" w:header="708" w:footer="708" w:gutter="0"/>
      <w:cols w:space="708"/>
      <w:docGrid w:linePitch="36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  <w:r>
      <w:rPr>
        <w:rStyle w:val="PageNumber"/>
      </w:rPr>
    </w:r>
  </w:p>
  <w:p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Header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2</w:t>
    </w:r>
    <w:r>
      <w:fldChar w:fldCharType="end"/>
    </w:r>
  </w:p>
  <w:p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/>
  <w:compat>
    <w:spaceForUL w:val="true"/>
    <w:useNormalStyleForList w:val="true"/>
    <w:doNotUseIndentAsNumberingTabStop w:val="true"/>
    <w:useAltKinsokuLineBreakRules w:val="true"/>
    <w:allowSpaceOfSameStyleInTable w:val="true"/>
    <w:doNotSuppressIndentation w:val="true"/>
    <w:doNotAutofitConstrainedTables w:val="true"/>
    <w:autofitToFirstFixedWidthCell w:val="true"/>
    <w:displayHangulFixedWidth w:val="true"/>
    <w:splitPgBreakAndParaMark w:val="true"/>
    <w:doNotVertAlignCellWithSp w:val="true"/>
    <w:doNotBreakConstrainedForcedTable w:val="true"/>
    <w:doNotVertAlignInTxbx w:val="true"/>
    <w:useAnsiKerningPairs w:val="true"/>
    <w:cachedColBalance w:val="true"/>
    <w:compatSetting w:name="compatibilityMode" w:uri="http://schemas.microsoft.com/office/word" w:val="11"/>
  </w:compat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lang w:val="ru-RU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al">
    <w:name w:val="Normal"/>
    <w:aliases w:val="Обычный"/>
    <w:next w:val="Normal"/>
    <w:link w:val="Normal"/>
    <w:qFormat/>
    <w:pPr>
      <w:spacing w:after="200" w:line="276" w:lineRule="auto"/>
    </w:pPr>
    <w:rPr>
      <w:rFonts w:ascii="Calibri" w:hAnsi="Calibri" w:eastAsia="Calibri"/>
      <w:sz w:val="22"/>
      <w:szCs w:val="22"/>
      <w:lang w:val="ru-RU" w:eastAsia="en-US" w:bidi="ar-SA"/>
    </w:rPr>
  </w:style>
  <w:style w:type="character" w:styleId="NormalCharacter">
    <w:name w:val="Основной шрифт абзаца"/>
    <w:next w:val="NormalCharacter"/>
    <w:link w:val="Normal"/>
    <w:semiHidden/>
  </w:style>
  <w:style w:type="table" w:styleId="TableNormal">
    <w:name w:val="Обычная таблица"/>
    <w:next w:val="TableNormal"/>
    <w:link w:val="Normal"/>
    <w:semiHidden/>
  </w:style>
  <w:style w:type="numbering" w:styleId="NormalList">
    <w:name w:val="Нет списка"/>
    <w:next w:val="NormalList"/>
    <w:link w:val="Normal"/>
    <w:semiHidden/>
  </w:style>
  <w:style w:type="paragraph" w:styleId="UserStyle_0">
    <w:name w:val="ConsPlusNormal"/>
    <w:next w:val="UserStyle_0"/>
    <w:link w:val="Normal"/>
    <w:pPr>
      <w:widowControl w:val="off"/>
    </w:pPr>
    <w:rPr>
      <w:sz w:val="24"/>
      <w:lang w:val="ru-RU" w:eastAsia="ru-RU" w:bidi="ar-SA"/>
    </w:rPr>
  </w:style>
  <w:style w:type="paragraph" w:styleId="Header">
    <w:name w:val="Верхний колонтитул"/>
    <w:basedOn w:val="Normal"/>
    <w:next w:val="Header"/>
    <w:link w:val="UserStyle_1"/>
    <w:pPr>
      <w:tabs>
        <w:tab w:val="center" w:pos="4677" w:leader="none"/>
        <w:tab w:val="right" w:pos="9355" w:leader="none"/>
      </w:tabs>
    </w:pPr>
  </w:style>
  <w:style w:type="character" w:styleId="PageNumber">
    <w:name w:val="Номер страницы"/>
    <w:basedOn w:val="NormalCharacter"/>
    <w:next w:val="PageNumber"/>
    <w:link w:val="Normal"/>
  </w:style>
  <w:style w:type="character" w:styleId="UserStyle_1">
    <w:name w:val="Верхний колонтитул Знак"/>
    <w:next w:val="UserStyle_1"/>
    <w:link w:val="Header"/>
    <w:rPr>
      <w:rFonts w:ascii="Calibri" w:hAnsi="Calibri" w:eastAsia="Calibri"/>
      <w:sz w:val="22"/>
      <w:szCs w:val="22"/>
      <w:lang w:val="ru-RU" w:eastAsia="en-US" w:bidi="ar-SA"/>
    </w:rPr>
  </w:style>
  <w:style w:type="paragraph" w:styleId="UserStyle_2">
    <w:name w:val="ConsPlusTitle"/>
    <w:next w:val="UserStyle_2"/>
    <w:link w:val="Normal"/>
    <w:uiPriority w:val="99"/>
    <w:pPr>
      <w:widowControl w:val="off"/>
    </w:pPr>
    <w:rPr>
      <w:rFonts w:ascii="Arial" w:hAnsi="Arial" w:cs="Arial"/>
      <w:b/>
      <w:bCs/>
      <w:sz w:val="24"/>
      <w:szCs w:val="24"/>
      <w:lang w:val="ru-RU" w:eastAsia="ru-RU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header" Target="header1.xml" /><Relationship Id="rId7" Type="http://schemas.openxmlformats.org/officeDocument/2006/relationships/header" Target="header2.xml" /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haracters>4280</Characters>
  <CharactersWithSpaces>5020</CharactersWithSpaces>
  <Company>Home</Company>
  <DocSecurity>0</DocSecurity>
  <HyperlinksChanged>false</HyperlinksChanged>
  <Lines>35</Lines>
  <Pages>2</Pages>
  <Paragraphs>10</Paragraphs>
  <ScaleCrop>false</ScaleCrop>
  <SharedDoc>false</SharedDoc>
  <Template>Normal</Template>
  <Words>750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ishpotak</dc:creator>
  <cp:lastModifiedBy>svasilev@tfoms-spb.local</cp:lastModifiedBy>
  <cp:revision>5</cp:revision>
  <dcterms:created xsi:type="dcterms:W3CDTF">2026-08-03T12:58:00Z</dcterms:created>
  <dcterms:modified xsi:type="dcterms:W3CDTF">2026-09-02T13:41:00Z</dcterms:modified>
  <cp:version>786432</cp:version>
</cp:coreProperties>
</file>